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医院会计工作计划 医院图片真实照片</w:t>
      </w:r>
    </w:p>
    <w:p/>
    <w:p/>
    <w:p>
      <w:pPr/>
      <w:r>
        <w:rPr>
          <w:rStyle w:val="myStyle"/>
        </w:rPr>
        <w:t xml:space="preserve">　　其实写一份工作计划一点都不难，让小编来告诉你诀窍。欢迎浏览我们的网站，我们为大家免费提供一系列的财务工作计划模板，你一定能找到你想要的!</w:t>
      </w:r>
    </w:p>
    <w:p/>
    <w:p>
      <w:pPr/>
      <w:r>
        <w:rPr>
          <w:rStyle w:val="myStyle"/>
        </w:rPr>
        <w:t xml:space="preserve">　　一、价格管理：</w:t>
      </w:r>
    </w:p>
    <w:p/>
    <w:p>
      <w:pPr/>
      <w:r>
        <w:rPr>
          <w:rStyle w:val="myStyle"/>
        </w:rPr>
        <w:t xml:space="preserve">　　1、医院物资(包括假体材料)进货上加强合同管理体制，对新产品新物资严格把关，配合领导层对医院使用物 资，销售产品结构合理开发等的决策提供准确的数据依据，对药品，零星的医用物资等实行不定期的价格询查制度。</w:t>
      </w:r>
    </w:p>
    <w:p/>
    <w:p>
      <w:pPr/>
      <w:r>
        <w:rPr>
          <w:rStyle w:val="myStyle"/>
        </w:rPr>
        <w:t xml:space="preserve">　　2、营销策划部实现大小开支项目在统一预算报批的情况下执行，按项目开支明细核定价格进行报销核算。</w:t>
      </w:r>
    </w:p>
    <w:p/>
    <w:p>
      <w:pPr/>
      <w:r>
        <w:rPr>
          <w:rStyle w:val="myStyle"/>
        </w:rPr>
        <w:t xml:space="preserve">　　3、对医院的各手术、治疗项目的收费价格按照部门提议，财务测算成本后报批的程序进行，并逐步完善电脑信息系统的最低限价录入，实现底价预警提示。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2023-05-10T11:41:39+08:00</dcterms:created>
  <dcterms:modified xsi:type="dcterms:W3CDTF">2023-05-10T11:41:39+08:00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