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2015年服务业工会年度工作计划</w:t>
      </w:r>
    </w:p>
    <w:p/>
    <w:p/>
    <w:p>
      <w:pPr/>
      <w:r>
        <w:rPr>
          <w:rStyle w:val="myStyle"/>
        </w:rPr>
        <w:t xml:space="preserve">
	《2014年服务业工会年度工作计划》是围绕推进“两化互动”，实现“三个率先”，以“攻坚克难显身手、助推发展立新功”为主题，继续以打造“洪城杯”职工劳动 技能比武活动品牌 为载体，掀起劳动竞赛新热潮。要突出抓好基本医疗服务、九大公共卫生 服务、科学技术创新等方面的重大项目、重要窗口的劳动技能竞赛活动;以开展争创“五化五强”科室活动(即：力求科室建设做到制度规范化，执行力强;竞赛指标化，战斗力强;技能复合化，创新力强;管理 精细化，竞争力强;作风民主 化，凝聚力强)为载体，进一步深化“工人先锋号”创建活动，力争全年创建市级“优秀工人先锋号”1个，培育县级“工人先锋队号”2个。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2023-08-24T08:51:31+08:00</dcterms:created>
  <dcterms:modified xsi:type="dcterms:W3CDTF">2023-08-24T08:51:31+08:00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